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附件</w:t>
      </w:r>
    </w:p>
    <w:p>
      <w:pPr>
        <w:spacing w:line="580" w:lineRule="exact"/>
        <w:jc w:val="center"/>
        <w:rPr>
          <w:rFonts w:hint="eastAsia"/>
          <w:bCs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/>
          <w:bCs/>
          <w:sz w:val="36"/>
          <w:szCs w:val="36"/>
          <w:shd w:val="clear" w:color="auto" w:fill="FFFFFF"/>
        </w:rPr>
        <w:t>台风、暴雨、暴雪、重污染</w:t>
      </w:r>
    </w:p>
    <w:p>
      <w:pPr>
        <w:spacing w:line="580" w:lineRule="exact"/>
        <w:jc w:val="center"/>
        <w:rPr>
          <w:rFonts w:hint="eastAsia" w:ascii="方正小标宋_GBK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/>
          <w:bCs/>
          <w:sz w:val="36"/>
          <w:szCs w:val="36"/>
          <w:shd w:val="clear" w:color="auto" w:fill="FFFFFF"/>
        </w:rPr>
        <w:t>天气灾害预警信号图标及标准</w:t>
      </w:r>
    </w:p>
    <w:p>
      <w:pPr>
        <w:spacing w:line="580" w:lineRule="exact"/>
        <w:ind w:firstLine="600" w:firstLineChars="200"/>
        <w:rPr>
          <w:szCs w:val="11"/>
          <w:shd w:val="clear" w:color="auto" w:fill="FFFFFF"/>
        </w:rPr>
      </w:pPr>
    </w:p>
    <w:p>
      <w:pPr>
        <w:spacing w:line="600" w:lineRule="exact"/>
        <w:ind w:firstLine="600" w:firstLineChars="200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一、台风橙色预警信号图标及标准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76200</wp:posOffset>
            </wp:positionV>
            <wp:extent cx="800100" cy="800100"/>
            <wp:effectExtent l="0" t="0" r="0" b="0"/>
            <wp:wrapNone/>
            <wp:docPr id="2" name="图片 2" descr="说明: 台风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台风_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 xml:space="preserve">图标：  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标准：12小时内可能或者已经受热带气旋影响,陆地平均风力达10级以上，或者阵风12级以上并可能持续。</w:t>
      </w:r>
    </w:p>
    <w:p>
      <w:pPr>
        <w:spacing w:line="600" w:lineRule="exact"/>
        <w:ind w:firstLine="600" w:firstLineChars="200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二、台风红色预警信号图标及标准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10160</wp:posOffset>
            </wp:positionV>
            <wp:extent cx="800100" cy="800100"/>
            <wp:effectExtent l="0" t="0" r="0" b="0"/>
            <wp:wrapNone/>
            <wp:docPr id="1" name="图片 5" descr="说明: 台风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台风_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图标：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标准：6小时内可能或者已经受热带气旋影响，陆地平均风力达12级以上，或者阵风达14级以上并可能持续。</w:t>
      </w:r>
    </w:p>
    <w:p>
      <w:pPr>
        <w:spacing w:line="600" w:lineRule="exact"/>
        <w:ind w:firstLine="600" w:firstLineChars="200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三、暴雨红色预警信号图标及标准</w:t>
      </w:r>
    </w:p>
    <w:p>
      <w:pPr>
        <w:spacing w:line="600" w:lineRule="exact"/>
        <w:ind w:firstLine="600" w:firstLineChars="200"/>
        <w:rPr>
          <w:rFonts w:hint="eastAsia"/>
          <w:szCs w:val="32"/>
          <w:shd w:val="clear" w:color="auto" w:fill="FFFFFF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63500</wp:posOffset>
            </wp:positionV>
            <wp:extent cx="762000" cy="762000"/>
            <wp:effectExtent l="0" t="0" r="0" b="0"/>
            <wp:wrapNone/>
            <wp:docPr id="3" name="图片 4" descr="C:\Users\lenovo\AppData\Local\Temp\ksohtml931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lenovo\AppData\Local\Temp\ksohtml9312\wps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图标：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标准：3小时内降雨量将达100毫米以上，或已达100毫米以上且降雨持续。</w:t>
      </w:r>
    </w:p>
    <w:p>
      <w:pPr>
        <w:spacing w:line="600" w:lineRule="exact"/>
        <w:ind w:firstLine="600" w:firstLineChars="200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四、暴雪红色预警信号图标及标准</w:t>
      </w:r>
    </w:p>
    <w:p>
      <w:pPr>
        <w:spacing w:line="600" w:lineRule="exact"/>
        <w:ind w:firstLine="600" w:firstLineChars="200"/>
        <w:rPr>
          <w:rFonts w:hint="eastAsia"/>
          <w:szCs w:val="32"/>
          <w:shd w:val="clear" w:color="auto" w:fill="FFFFFF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19050</wp:posOffset>
            </wp:positionV>
            <wp:extent cx="800100" cy="800100"/>
            <wp:effectExtent l="0" t="0" r="0" b="0"/>
            <wp:wrapNone/>
            <wp:docPr id="4" name="图片 8" descr="说明: C:\Users\lenovo\AppData\Local\Temp\ksohtml9312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说明: C:\Users\lenovo\AppData\Local\Temp\ksohtml9312\wps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图标：</w:t>
      </w:r>
    </w:p>
    <w:p>
      <w:pPr>
        <w:spacing w:line="600" w:lineRule="exact"/>
        <w:ind w:firstLine="600" w:firstLineChars="200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标准：12小时内降雪量将达30毫米以上，或者已达30毫米以上且降雪持续。</w:t>
      </w:r>
    </w:p>
    <w:p>
      <w:pPr>
        <w:spacing w:line="600" w:lineRule="exact"/>
        <w:ind w:firstLine="600" w:firstLineChars="200"/>
        <w:rPr>
          <w:rFonts w:hint="eastAsia" w:ascii="方正黑体_GBK" w:eastAsia="方正黑体_GBK"/>
          <w:szCs w:val="32"/>
          <w:shd w:val="clear" w:color="auto" w:fill="FFFFFF"/>
        </w:rPr>
      </w:pPr>
      <w:r>
        <w:rPr>
          <w:rFonts w:hint="eastAsia" w:ascii="方正黑体_GBK" w:eastAsia="方正黑体_GBK"/>
          <w:szCs w:val="32"/>
          <w:shd w:val="clear" w:color="auto" w:fill="FFFFFF"/>
        </w:rPr>
        <w:t>五、重污染天气红色预警标准</w:t>
      </w:r>
    </w:p>
    <w:p>
      <w:pPr>
        <w:spacing w:line="600" w:lineRule="exact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 xml:space="preserve">    预测AQI日均值﹥200将持续4天（96小时）及以上，且预测AQI日均值﹥300将持续2天（48小时）及以上；或预测AQI日均值达到500。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689F"/>
    <w:rsid w:val="03A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2021-04-21T11:32:00Z</dcterms:created>
  <dc:creator>qiao</dc:creator>
  <cp:lastModifiedBy>qiao</cp:lastModifiedBy>
  <dcterms:modified xsi:type="dcterms:W3CDTF">2021-04-21T11:36:49Z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