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eastAsia="zh-CN"/>
        </w:rPr>
        <w:t>中韩（长春）国际合作示范区</w:t>
      </w:r>
      <w:r>
        <w:rPr>
          <w:rFonts w:hint="eastAsia" w:ascii="宋体" w:hAnsi="宋体" w:eastAsia="宋体" w:cs="宋体"/>
          <w:b/>
          <w:bCs/>
          <w:sz w:val="36"/>
          <w:szCs w:val="36"/>
          <w:lang w:val="en-US" w:eastAsia="zh-CN"/>
        </w:rPr>
        <w:t>社会治安综合治理委员会</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val="en-US" w:eastAsia="zh-CN"/>
        </w:rPr>
        <w:t>办公室</w:t>
      </w:r>
      <w:r>
        <w:rPr>
          <w:rFonts w:hint="eastAsia" w:ascii="宋体" w:hAnsi="宋体" w:eastAsia="宋体" w:cs="宋体"/>
          <w:b/>
          <w:bCs/>
          <w:sz w:val="36"/>
          <w:szCs w:val="36"/>
          <w:lang w:eastAsia="zh-CN"/>
        </w:rPr>
        <w:t>2021年政府信息公开工作年度报告</w:t>
      </w: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r>
        <w:rPr>
          <w:rFonts w:hint="eastAsia" w:ascii="宋体" w:hAnsi="宋体" w:eastAsia="宋体" w:cs="宋体"/>
          <w:sz w:val="24"/>
          <w:szCs w:val="24"/>
        </w:rPr>
        <w:t>根据《中华人民共和国政府信息公开条例》规定，现公布示范区</w:t>
      </w:r>
      <w:r>
        <w:rPr>
          <w:rFonts w:hint="eastAsia" w:ascii="宋体" w:hAnsi="宋体" w:eastAsia="宋体" w:cs="宋体"/>
          <w:sz w:val="24"/>
          <w:szCs w:val="24"/>
          <w:lang w:val="en-US" w:eastAsia="zh-CN"/>
        </w:rPr>
        <w:t>社会治安综合治理委员会办公室</w:t>
      </w:r>
      <w:r>
        <w:rPr>
          <w:rFonts w:hint="eastAsia" w:ascii="宋体" w:hAnsi="宋体" w:eastAsia="宋体" w:cs="宋体"/>
          <w:sz w:val="24"/>
          <w:szCs w:val="24"/>
        </w:rPr>
        <w:t>信息公开相关信息。</w:t>
      </w:r>
      <w:r>
        <w:rPr>
          <w:rFonts w:hint="eastAsia" w:ascii="宋体" w:hAnsi="宋体" w:eastAsia="宋体" w:cs="宋体"/>
          <w:b w:val="0"/>
          <w:bCs w:val="0"/>
          <w:sz w:val="24"/>
          <w:szCs w:val="24"/>
          <w:lang w:val="en-US" w:eastAsia="zh-CN"/>
        </w:rPr>
        <w:t>本报告全文由总体情况、主动公开政府信息情况、收到和处理政府信息公开申请情况、政府信息公开行政复议和行政诉讼情况、存在的主要问题及改进情况、其他需要报告的事项等六个部分组成，所列数据的统计期限自2021年1月1日起至2021年12月31日止。如对本报告有任何疑问，请与中韩（长春）国际合作示范区社会治安综合治理委员会办公室联系（地址：长春市金汇大路1577号中韩大厦B102室；咨询电话：0431-81187326；邮编：130000）。</w:t>
      </w:r>
    </w:p>
    <w:p>
      <w:pPr>
        <w:numPr>
          <w:ilvl w:val="0"/>
          <w:numId w:val="1"/>
        </w:num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总体情况</w:t>
      </w:r>
    </w:p>
    <w:p>
      <w:pPr>
        <w:numPr>
          <w:ilvl w:val="0"/>
          <w:numId w:val="0"/>
        </w:num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 xml:space="preserve"> 2021年，示范区社会治安综合治理委员会办公室坚持以习近平新时代中国特色社会主义思想为指导，按照示范区有关政府信息公开的部署要求，着力健全政务公开机制，着力提升政务公开质量，为更好地服务和推进全市经济社会发展发挥积极作用。</w:t>
      </w:r>
    </w:p>
    <w:p>
      <w:pPr>
        <w:ind w:firstLine="480" w:firstLineChars="200"/>
        <w:rPr>
          <w:rFonts w:ascii="宋体" w:hAnsi="宋体" w:eastAsia="宋体" w:cs="宋体"/>
          <w:sz w:val="24"/>
          <w:szCs w:val="24"/>
        </w:rPr>
      </w:pPr>
      <w:r>
        <w:rPr>
          <w:rFonts w:hint="eastAsia" w:ascii="楷体" w:hAnsi="楷体" w:eastAsia="楷体" w:cs="楷体"/>
          <w:sz w:val="24"/>
          <w:szCs w:val="24"/>
        </w:rPr>
        <w:t>（一）组织推动政府信息公开工作。</w:t>
      </w:r>
      <w:r>
        <w:rPr>
          <w:rFonts w:ascii="宋体" w:hAnsi="宋体" w:eastAsia="宋体" w:cs="宋体"/>
          <w:sz w:val="24"/>
          <w:szCs w:val="24"/>
        </w:rPr>
        <w:t>压实工作责任</w:t>
      </w:r>
      <w:r>
        <w:rPr>
          <w:rFonts w:hint="eastAsia" w:ascii="宋体" w:hAnsi="宋体" w:eastAsia="宋体" w:cs="宋体"/>
          <w:sz w:val="24"/>
          <w:szCs w:val="24"/>
        </w:rPr>
        <w:t>，</w:t>
      </w:r>
      <w:r>
        <w:rPr>
          <w:rFonts w:ascii="宋体" w:hAnsi="宋体" w:eastAsia="宋体" w:cs="宋体"/>
          <w:sz w:val="24"/>
          <w:szCs w:val="24"/>
        </w:rPr>
        <w:t>结合我</w:t>
      </w:r>
      <w:r>
        <w:rPr>
          <w:rFonts w:hint="eastAsia" w:ascii="宋体" w:hAnsi="宋体" w:eastAsia="宋体" w:cs="宋体"/>
          <w:sz w:val="24"/>
          <w:szCs w:val="24"/>
          <w:lang w:val="en-US" w:eastAsia="zh-CN"/>
        </w:rPr>
        <w:t>办</w:t>
      </w:r>
      <w:r>
        <w:rPr>
          <w:rFonts w:ascii="宋体" w:hAnsi="宋体" w:eastAsia="宋体" w:cs="宋体"/>
          <w:sz w:val="24"/>
          <w:szCs w:val="24"/>
        </w:rPr>
        <w:t>工作实际，</w:t>
      </w:r>
      <w:r>
        <w:rPr>
          <w:rFonts w:hint="eastAsia" w:ascii="宋体" w:hAnsi="宋体" w:eastAsia="宋体" w:cs="宋体"/>
          <w:sz w:val="24"/>
          <w:szCs w:val="24"/>
        </w:rPr>
        <w:t>落实</w:t>
      </w:r>
      <w:r>
        <w:rPr>
          <w:rFonts w:ascii="宋体" w:hAnsi="宋体" w:eastAsia="宋体" w:cs="宋体"/>
          <w:sz w:val="24"/>
          <w:szCs w:val="24"/>
        </w:rPr>
        <w:t>政务公开工作要点及分工，确定工作重点、明确责任分工，保障政务公开工作落到实处。针对信息公开督查反馈的问题及时整改</w:t>
      </w:r>
      <w:r>
        <w:rPr>
          <w:rFonts w:hint="eastAsia" w:ascii="宋体" w:hAnsi="宋体" w:eastAsia="宋体" w:cs="宋体"/>
          <w:sz w:val="24"/>
          <w:szCs w:val="24"/>
        </w:rPr>
        <w:t xml:space="preserve">。 </w:t>
      </w:r>
    </w:p>
    <w:p>
      <w:pPr>
        <w:ind w:firstLine="480" w:firstLineChars="200"/>
        <w:rPr>
          <w:rFonts w:ascii="宋体" w:hAnsi="宋体" w:eastAsia="宋体" w:cs="宋体"/>
          <w:sz w:val="24"/>
          <w:szCs w:val="24"/>
        </w:rPr>
      </w:pPr>
      <w:r>
        <w:rPr>
          <w:rFonts w:hint="eastAsia" w:ascii="楷体" w:hAnsi="楷体" w:eastAsia="楷体" w:cs="楷体"/>
          <w:sz w:val="24"/>
          <w:szCs w:val="24"/>
        </w:rPr>
        <w:t>（二）积极推动政府信息主动公开。</w:t>
      </w:r>
      <w:r>
        <w:rPr>
          <w:rFonts w:hint="eastAsia" w:ascii="宋体" w:hAnsi="宋体" w:eastAsia="宋体" w:cs="宋体"/>
          <w:sz w:val="24"/>
          <w:szCs w:val="24"/>
        </w:rPr>
        <w:t>以构建人民群众满意型政府为目标，积极稳妥地推进政府信息公开工作。政府信息公开工作在服务经济社会发展、转变政府职能、促进行政权力公开等方面透明运行，保障公民的知情权、表达权、参与权和监督权等方面发挥积极作用。</w:t>
      </w:r>
    </w:p>
    <w:p>
      <w:pPr>
        <w:ind w:firstLine="480" w:firstLineChars="200"/>
        <w:rPr>
          <w:rFonts w:ascii="宋体" w:hAnsi="宋体" w:eastAsia="宋体" w:cs="宋体"/>
          <w:i w:val="0"/>
          <w:iCs w:val="0"/>
          <w:caps w:val="0"/>
          <w:color w:val="000000"/>
          <w:spacing w:val="0"/>
          <w:sz w:val="24"/>
          <w:szCs w:val="24"/>
          <w:shd w:val="clear" w:fill="FFFFFF"/>
        </w:rPr>
      </w:pPr>
      <w:r>
        <w:rPr>
          <w:rFonts w:hint="eastAsia" w:ascii="楷体" w:hAnsi="楷体" w:eastAsia="楷体" w:cs="楷体"/>
          <w:sz w:val="24"/>
          <w:szCs w:val="24"/>
        </w:rPr>
        <w:t>（三）认真规范处理依申请公开。</w:t>
      </w:r>
      <w:r>
        <w:rPr>
          <w:rFonts w:hint="eastAsia" w:ascii="宋体" w:hAnsi="宋体" w:eastAsia="宋体" w:cs="宋体"/>
          <w:sz w:val="24"/>
          <w:szCs w:val="24"/>
        </w:rPr>
        <w:t>认真</w:t>
      </w:r>
      <w:r>
        <w:rPr>
          <w:rFonts w:hint="eastAsia" w:ascii="宋体" w:hAnsi="宋体" w:eastAsia="宋体" w:cs="宋体"/>
          <w:sz w:val="24"/>
          <w:szCs w:val="24"/>
          <w:lang w:eastAsia="zh-CN"/>
        </w:rPr>
        <w:t>学习</w:t>
      </w:r>
      <w:r>
        <w:rPr>
          <w:rFonts w:hint="eastAsia" w:ascii="宋体" w:hAnsi="宋体" w:eastAsia="宋体" w:cs="宋体"/>
          <w:sz w:val="24"/>
          <w:szCs w:val="24"/>
        </w:rPr>
        <w:t>《长春市政府信息依申请公开工作规范》</w:t>
      </w:r>
      <w:r>
        <w:rPr>
          <w:rFonts w:hint="eastAsia" w:ascii="宋体" w:hAnsi="宋体" w:eastAsia="宋体" w:cs="宋体"/>
          <w:sz w:val="24"/>
          <w:szCs w:val="24"/>
          <w:lang w:eastAsia="zh-CN"/>
        </w:rPr>
        <w:t>，</w:t>
      </w:r>
      <w:r>
        <w:rPr>
          <w:rFonts w:ascii="宋体" w:hAnsi="宋体" w:eastAsia="宋体" w:cs="宋体"/>
          <w:i w:val="0"/>
          <w:iCs w:val="0"/>
          <w:caps w:val="0"/>
          <w:color w:val="000000"/>
          <w:spacing w:val="0"/>
          <w:sz w:val="24"/>
          <w:szCs w:val="24"/>
          <w:shd w:val="clear" w:fill="FFFFFF"/>
        </w:rPr>
        <w:t>持续加大投入力度，健全工作机制，规范办理流程和公开内容，着力提升依申请公开办理工作质量和水平</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sz w:val="24"/>
          <w:szCs w:val="24"/>
          <w:lang w:val="en-US" w:eastAsia="zh-CN"/>
        </w:rPr>
        <w:t>2</w:t>
      </w:r>
      <w:r>
        <w:rPr>
          <w:rFonts w:ascii="宋体" w:hAnsi="宋体" w:eastAsia="宋体" w:cs="宋体"/>
          <w:i w:val="0"/>
          <w:iCs w:val="0"/>
          <w:caps w:val="0"/>
          <w:color w:val="000000"/>
          <w:spacing w:val="0"/>
          <w:sz w:val="24"/>
          <w:szCs w:val="24"/>
          <w:shd w:val="clear" w:fill="FFFFFF"/>
        </w:rPr>
        <w:t>021年，我</w:t>
      </w:r>
      <w:r>
        <w:rPr>
          <w:rFonts w:hint="eastAsia" w:ascii="宋体" w:hAnsi="宋体" w:eastAsia="宋体" w:cs="宋体"/>
          <w:i w:val="0"/>
          <w:iCs w:val="0"/>
          <w:caps w:val="0"/>
          <w:color w:val="000000"/>
          <w:spacing w:val="0"/>
          <w:sz w:val="24"/>
          <w:szCs w:val="24"/>
          <w:shd w:val="clear" w:fill="FFFFFF"/>
          <w:lang w:eastAsia="zh-CN"/>
        </w:rPr>
        <w:t>部门</w:t>
      </w:r>
      <w:r>
        <w:rPr>
          <w:rFonts w:ascii="宋体" w:hAnsi="宋体" w:eastAsia="宋体" w:cs="宋体"/>
          <w:i w:val="0"/>
          <w:iCs w:val="0"/>
          <w:caps w:val="0"/>
          <w:color w:val="000000"/>
          <w:spacing w:val="0"/>
          <w:sz w:val="24"/>
          <w:szCs w:val="24"/>
          <w:shd w:val="clear" w:fill="FFFFFF"/>
        </w:rPr>
        <w:t>未收到政府信息公开申请以及针对本部门政府信息公开事项的行政复议、行政诉讼及各类申诉。</w:t>
      </w:r>
    </w:p>
    <w:p>
      <w:pPr>
        <w:ind w:firstLine="480" w:firstLineChars="200"/>
        <w:rPr>
          <w:rFonts w:hint="eastAsia" w:ascii="宋体" w:hAnsi="宋体" w:eastAsia="宋体" w:cs="宋体"/>
          <w:i w:val="0"/>
          <w:iCs w:val="0"/>
          <w:caps w:val="0"/>
          <w:color w:val="000000"/>
          <w:spacing w:val="0"/>
          <w:sz w:val="24"/>
          <w:szCs w:val="24"/>
          <w:shd w:val="clear" w:fill="FFFFFF"/>
          <w:lang w:eastAsia="zh-CN"/>
        </w:rPr>
      </w:pPr>
      <w:r>
        <w:rPr>
          <w:rFonts w:hint="eastAsia" w:ascii="楷体" w:hAnsi="楷体" w:eastAsia="楷体" w:cs="楷体"/>
          <w:sz w:val="24"/>
          <w:szCs w:val="24"/>
        </w:rPr>
        <w:t>（四）不断强化政府信息公开平台内容保障。</w:t>
      </w:r>
      <w:r>
        <w:rPr>
          <w:rFonts w:hint="eastAsia" w:ascii="宋体" w:hAnsi="宋体" w:eastAsia="宋体" w:cs="宋体"/>
          <w:sz w:val="24"/>
          <w:szCs w:val="24"/>
        </w:rPr>
        <w:t>政务公开与群众利益息息相关，为确保政务公开的真实、及时有效、信息透明，</w:t>
      </w:r>
      <w:r>
        <w:rPr>
          <w:rFonts w:hint="eastAsia" w:ascii="宋体" w:hAnsi="宋体" w:eastAsia="宋体" w:cs="宋体"/>
          <w:sz w:val="24"/>
          <w:szCs w:val="24"/>
          <w:lang w:val="en-US" w:eastAsia="zh-CN"/>
        </w:rPr>
        <w:t>社会治安综合治理委员会办公室</w:t>
      </w:r>
      <w:r>
        <w:rPr>
          <w:rFonts w:hint="eastAsia" w:ascii="宋体" w:hAnsi="宋体" w:eastAsia="宋体" w:cs="宋体"/>
          <w:sz w:val="24"/>
          <w:szCs w:val="24"/>
        </w:rPr>
        <w:t>高度重视</w:t>
      </w:r>
      <w:r>
        <w:rPr>
          <w:rFonts w:hint="eastAsia" w:ascii="宋体" w:hAnsi="宋体" w:eastAsia="宋体" w:cs="宋体"/>
          <w:sz w:val="24"/>
          <w:szCs w:val="24"/>
          <w:lang w:eastAsia="zh-CN"/>
        </w:rPr>
        <w:t>，</w:t>
      </w:r>
      <w:r>
        <w:rPr>
          <w:rFonts w:ascii="宋体" w:hAnsi="宋体" w:eastAsia="宋体" w:cs="宋体"/>
          <w:i w:val="0"/>
          <w:iCs w:val="0"/>
          <w:caps w:val="0"/>
          <w:color w:val="000000"/>
          <w:spacing w:val="0"/>
          <w:sz w:val="24"/>
          <w:szCs w:val="24"/>
          <w:shd w:val="clear" w:fill="FFFFFF"/>
        </w:rPr>
        <w:t>严格遵守信息公开条例有关规定，认真履行好审核程序，确保应公开的尽公开</w:t>
      </w:r>
      <w:r>
        <w:rPr>
          <w:rFonts w:hint="eastAsia" w:ascii="宋体" w:hAnsi="宋体" w:eastAsia="宋体" w:cs="宋体"/>
          <w:i w:val="0"/>
          <w:iCs w:val="0"/>
          <w:caps w:val="0"/>
          <w:color w:val="000000"/>
          <w:spacing w:val="0"/>
          <w:sz w:val="24"/>
          <w:szCs w:val="24"/>
          <w:shd w:val="clear" w:fill="FFFFFF"/>
          <w:lang w:eastAsia="zh-CN"/>
        </w:rPr>
        <w:t>。</w:t>
      </w:r>
    </w:p>
    <w:p>
      <w:pPr>
        <w:ind w:firstLine="480" w:firstLineChars="200"/>
        <w:rPr>
          <w:rFonts w:ascii="宋体" w:hAnsi="宋体" w:eastAsia="宋体" w:cs="宋体"/>
          <w:sz w:val="24"/>
          <w:szCs w:val="24"/>
        </w:rPr>
      </w:pPr>
      <w:r>
        <w:rPr>
          <w:rFonts w:hint="eastAsia" w:ascii="楷体" w:hAnsi="楷体" w:eastAsia="楷体" w:cs="楷体"/>
          <w:sz w:val="24"/>
          <w:szCs w:val="24"/>
        </w:rPr>
        <w:t>（五）全力做好宣传培训评估考核等基础工作。</w:t>
      </w:r>
      <w:r>
        <w:rPr>
          <w:rFonts w:hint="eastAsia" w:ascii="宋体" w:hAnsi="宋体" w:eastAsia="宋体" w:cs="宋体"/>
          <w:sz w:val="24"/>
          <w:szCs w:val="24"/>
        </w:rPr>
        <w:t>积极配合牵头部门做好各项相关工作，深入贯彻落实党中央、国务院关于全面推进政务公开的决策部署</w:t>
      </w:r>
      <w:r>
        <w:rPr>
          <w:rFonts w:hint="eastAsia" w:ascii="宋体" w:hAnsi="宋体" w:eastAsia="宋体" w:cs="宋体"/>
          <w:sz w:val="24"/>
          <w:szCs w:val="24"/>
          <w:lang w:eastAsia="zh-CN"/>
        </w:rPr>
        <w:t>。积极参与示范区</w:t>
      </w:r>
      <w:r>
        <w:rPr>
          <w:rFonts w:hint="eastAsia" w:ascii="宋体" w:hAnsi="宋体" w:eastAsia="宋体" w:cs="宋体"/>
          <w:sz w:val="24"/>
          <w:szCs w:val="24"/>
          <w:lang w:val="en-US" w:eastAsia="zh-CN"/>
        </w:rPr>
        <w:t>政府</w:t>
      </w:r>
      <w:bookmarkStart w:id="0" w:name="_GoBack"/>
      <w:bookmarkEnd w:id="0"/>
      <w:r>
        <w:rPr>
          <w:rFonts w:hint="eastAsia" w:ascii="宋体" w:hAnsi="宋体" w:eastAsia="宋体" w:cs="宋体"/>
          <w:sz w:val="24"/>
          <w:szCs w:val="24"/>
          <w:lang w:eastAsia="zh-CN"/>
        </w:rPr>
        <w:t>信息公开领导小组组织的培训，</w:t>
      </w:r>
      <w:r>
        <w:rPr>
          <w:rFonts w:ascii="宋体" w:hAnsi="宋体" w:eastAsia="宋体" w:cs="宋体"/>
          <w:i w:val="0"/>
          <w:iCs w:val="0"/>
          <w:caps w:val="0"/>
          <w:color w:val="000000"/>
          <w:spacing w:val="0"/>
          <w:sz w:val="24"/>
          <w:szCs w:val="24"/>
          <w:shd w:val="clear" w:fill="FFFFFF"/>
        </w:rPr>
        <w:t>不断提高信息公开工作人员的业务能力和水平</w:t>
      </w:r>
      <w:r>
        <w:rPr>
          <w:rFonts w:hint="eastAsia" w:ascii="宋体" w:hAnsi="宋体" w:eastAsia="宋体" w:cs="宋体"/>
          <w:i w:val="0"/>
          <w:iCs w:val="0"/>
          <w:caps w:val="0"/>
          <w:color w:val="000000"/>
          <w:spacing w:val="0"/>
          <w:sz w:val="24"/>
          <w:szCs w:val="24"/>
          <w:shd w:val="clear" w:fill="FFFFFF"/>
          <w:lang w:eastAsia="zh-CN"/>
        </w:rPr>
        <w:t>。</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5"/>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1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1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bl>
    <w:p>
      <w:pPr>
        <w:numPr>
          <w:ilvl w:val="0"/>
          <w:numId w:val="2"/>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19"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895"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19" w:type="dxa"/>
            <w:gridSpan w:val="3"/>
            <w:vMerge w:val="continue"/>
          </w:tcPr>
          <w:p>
            <w:pPr>
              <w:rPr>
                <w:rFonts w:ascii="宋体" w:hAnsi="宋体" w:eastAsia="宋体" w:cs="宋体"/>
                <w:b/>
                <w:bCs/>
                <w:sz w:val="24"/>
                <w:szCs w:val="24"/>
              </w:rPr>
            </w:pPr>
          </w:p>
        </w:tc>
        <w:tc>
          <w:tcPr>
            <w:tcW w:w="685"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7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9" w:type="dxa"/>
            <w:gridSpan w:val="3"/>
            <w:vMerge w:val="continue"/>
          </w:tcPr>
          <w:p>
            <w:pPr>
              <w:rPr>
                <w:rFonts w:ascii="宋体" w:hAnsi="宋体" w:eastAsia="宋体" w:cs="宋体"/>
                <w:b/>
                <w:bCs/>
                <w:sz w:val="24"/>
                <w:szCs w:val="24"/>
              </w:rPr>
            </w:pPr>
          </w:p>
        </w:tc>
        <w:tc>
          <w:tcPr>
            <w:tcW w:w="685" w:type="dxa"/>
            <w:vMerge w:val="continue"/>
          </w:tcPr>
          <w:p>
            <w:pPr>
              <w:rPr>
                <w:rFonts w:ascii="宋体" w:hAnsi="宋体" w:eastAsia="宋体" w:cs="宋体"/>
                <w:b/>
                <w:bCs/>
                <w:sz w:val="24"/>
                <w:szCs w:val="24"/>
              </w:rPr>
            </w:pPr>
          </w:p>
        </w:tc>
        <w:tc>
          <w:tcPr>
            <w:tcW w:w="696"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2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restart"/>
            <w:vAlign w:val="center"/>
          </w:tcPr>
          <w:p>
            <w:pPr>
              <w:widowControl/>
              <w:spacing w:line="12" w:lineRule="atLeast"/>
              <w:rPr>
                <w:rFonts w:ascii="宋体" w:hAnsi="宋体" w:eastAsia="宋体" w:cs="宋体"/>
                <w:kern w:val="0"/>
                <w:sz w:val="20"/>
                <w:szCs w:val="20"/>
                <w:lang w:bidi="ar"/>
              </w:rPr>
            </w:pPr>
          </w:p>
          <w:p>
            <w:pPr>
              <w:widowControl/>
              <w:spacing w:line="12" w:lineRule="atLeast"/>
              <w:rPr>
                <w:rFonts w:ascii="宋体" w:hAnsi="宋体" w:eastAsia="宋体" w:cs="宋体"/>
                <w:kern w:val="0"/>
                <w:sz w:val="20"/>
                <w:szCs w:val="20"/>
                <w:lang w:bidi="ar"/>
              </w:rPr>
            </w:pPr>
          </w:p>
          <w:p>
            <w:pPr>
              <w:widowControl/>
              <w:spacing w:line="12" w:lineRule="atLeast"/>
              <w:rPr>
                <w:rFonts w:ascii="宋体" w:hAnsi="宋体" w:eastAsia="宋体" w:cs="宋体"/>
                <w:kern w:val="0"/>
                <w:sz w:val="20"/>
                <w:szCs w:val="20"/>
                <w:lang w:bidi="ar"/>
              </w:rPr>
            </w:pPr>
          </w:p>
          <w:p>
            <w:pPr>
              <w:widowControl/>
              <w:spacing w:line="12" w:lineRule="atLeast"/>
              <w:rPr>
                <w:rFonts w:ascii="宋体" w:hAnsi="宋体" w:eastAsia="宋体" w:cs="宋体"/>
                <w:kern w:val="0"/>
                <w:sz w:val="20"/>
                <w:szCs w:val="20"/>
                <w:lang w:bidi="ar"/>
              </w:rPr>
            </w:pPr>
          </w:p>
          <w:p>
            <w:pPr>
              <w:widowControl/>
              <w:spacing w:line="12" w:lineRule="atLeast"/>
              <w:rPr>
                <w:rFonts w:ascii="宋体" w:hAnsi="宋体" w:eastAsia="宋体" w:cs="宋体"/>
                <w:kern w:val="0"/>
                <w:sz w:val="20"/>
                <w:szCs w:val="20"/>
                <w:lang w:bidi="ar"/>
              </w:rPr>
            </w:pPr>
          </w:p>
          <w:p>
            <w:pPr>
              <w:widowControl/>
              <w:spacing w:line="12" w:lineRule="atLeast"/>
              <w:rPr>
                <w:rFonts w:ascii="宋体" w:hAnsi="宋体" w:eastAsia="宋体" w:cs="宋体"/>
                <w:kern w:val="0"/>
                <w:sz w:val="20"/>
                <w:szCs w:val="20"/>
                <w:lang w:bidi="ar"/>
              </w:rPr>
            </w:pPr>
          </w:p>
          <w:p>
            <w:pPr>
              <w:widowControl/>
              <w:spacing w:line="12" w:lineRule="atLeast"/>
              <w:rPr>
                <w:rFonts w:ascii="宋体" w:hAnsi="宋体" w:eastAsia="宋体" w:cs="宋体"/>
                <w:kern w:val="0"/>
                <w:sz w:val="20"/>
                <w:szCs w:val="20"/>
                <w:lang w:bidi="ar"/>
              </w:rPr>
            </w:pPr>
          </w:p>
          <w:p>
            <w:pPr>
              <w:widowControl/>
              <w:spacing w:line="12" w:lineRule="atLeast"/>
              <w:rPr>
                <w:rFonts w:ascii="宋体" w:hAnsi="宋体" w:eastAsia="宋体" w:cs="宋体"/>
                <w:kern w:val="0"/>
                <w:sz w:val="20"/>
                <w:szCs w:val="20"/>
                <w:lang w:bidi="ar"/>
              </w:rPr>
            </w:pPr>
          </w:p>
          <w:p>
            <w:pPr>
              <w:widowControl/>
              <w:spacing w:line="12" w:lineRule="atLeast"/>
              <w:rPr>
                <w:rFonts w:ascii="宋体" w:hAnsi="宋体" w:eastAsia="宋体" w:cs="宋体"/>
                <w:kern w:val="0"/>
                <w:sz w:val="20"/>
                <w:szCs w:val="20"/>
                <w:lang w:bidi="ar"/>
              </w:rPr>
            </w:pPr>
          </w:p>
          <w:p>
            <w:pPr>
              <w:widowControl/>
              <w:spacing w:line="12" w:lineRule="atLeast"/>
              <w:rPr>
                <w:rFonts w:ascii="宋体" w:hAnsi="宋体" w:eastAsia="宋体" w:cs="宋体"/>
                <w:kern w:val="0"/>
                <w:sz w:val="20"/>
                <w:szCs w:val="20"/>
                <w:lang w:bidi="ar"/>
              </w:rPr>
            </w:pPr>
          </w:p>
          <w:p>
            <w:pPr>
              <w:widowControl/>
              <w:spacing w:line="12" w:lineRule="atLeast"/>
              <w:rPr>
                <w:rFonts w:ascii="宋体" w:hAnsi="宋体" w:eastAsia="宋体" w:cs="宋体"/>
                <w:kern w:val="0"/>
                <w:sz w:val="20"/>
                <w:szCs w:val="20"/>
                <w:lang w:bidi="ar"/>
              </w:rPr>
            </w:pPr>
          </w:p>
          <w:p>
            <w:pPr>
              <w:widowControl/>
              <w:spacing w:line="12" w:lineRule="atLeast"/>
              <w:rPr>
                <w:rFonts w:ascii="宋体" w:hAnsi="宋体" w:eastAsia="宋体" w:cs="宋体"/>
                <w:kern w:val="0"/>
                <w:sz w:val="20"/>
                <w:szCs w:val="20"/>
                <w:lang w:bidi="ar"/>
              </w:rPr>
            </w:pPr>
          </w:p>
          <w:p>
            <w:pPr>
              <w:widowControl/>
              <w:spacing w:line="12" w:lineRule="atLeast"/>
              <w:rPr>
                <w:rFonts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19"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96" w:type="dxa"/>
          </w:tcPr>
          <w:p>
            <w:pPr>
              <w:rPr>
                <w:rFonts w:ascii="宋体" w:hAnsi="宋体" w:eastAsia="宋体" w:cs="宋体"/>
                <w:bCs/>
                <w:sz w:val="24"/>
                <w:szCs w:val="24"/>
              </w:rPr>
            </w:pPr>
            <w:r>
              <w:rPr>
                <w:rFonts w:hint="eastAsia" w:ascii="宋体" w:hAnsi="宋体" w:eastAsia="宋体" w:cs="宋体"/>
                <w:bCs/>
                <w:sz w:val="24"/>
                <w:szCs w:val="24"/>
              </w:rPr>
              <w:t>0</w:t>
            </w:r>
          </w:p>
        </w:tc>
        <w:tc>
          <w:tcPr>
            <w:tcW w:w="729" w:type="dxa"/>
          </w:tcPr>
          <w:p>
            <w:pPr>
              <w:rPr>
                <w:rFonts w:ascii="宋体" w:hAnsi="宋体" w:eastAsia="宋体" w:cs="宋体"/>
                <w:bCs/>
                <w:sz w:val="24"/>
                <w:szCs w:val="24"/>
              </w:rPr>
            </w:pPr>
            <w:r>
              <w:rPr>
                <w:rFonts w:hint="eastAsia" w:ascii="宋体" w:hAnsi="宋体" w:eastAsia="宋体" w:cs="宋体"/>
                <w:bCs/>
                <w:sz w:val="24"/>
                <w:szCs w:val="24"/>
              </w:rPr>
              <w:t>0</w:t>
            </w:r>
          </w:p>
        </w:tc>
        <w:tc>
          <w:tcPr>
            <w:tcW w:w="707" w:type="dxa"/>
          </w:tcPr>
          <w:p>
            <w:pPr>
              <w:rPr>
                <w:rFonts w:ascii="宋体" w:hAnsi="宋体" w:eastAsia="宋体" w:cs="宋体"/>
                <w:bCs/>
                <w:sz w:val="24"/>
                <w:szCs w:val="24"/>
              </w:rPr>
            </w:pPr>
            <w:r>
              <w:rPr>
                <w:rFonts w:hint="eastAsia" w:ascii="宋体" w:hAnsi="宋体" w:eastAsia="宋体" w:cs="宋体"/>
                <w:bCs/>
                <w:sz w:val="24"/>
                <w:szCs w:val="24"/>
              </w:rPr>
              <w:t>0</w:t>
            </w:r>
          </w:p>
        </w:tc>
        <w:tc>
          <w:tcPr>
            <w:tcW w:w="762" w:type="dxa"/>
          </w:tcPr>
          <w:p>
            <w:pPr>
              <w:rPr>
                <w:rFonts w:ascii="宋体" w:hAnsi="宋体" w:eastAsia="宋体" w:cs="宋体"/>
                <w:bCs/>
                <w:sz w:val="24"/>
                <w:szCs w:val="24"/>
              </w:rPr>
            </w:pPr>
            <w:r>
              <w:rPr>
                <w:rFonts w:hint="eastAsia" w:ascii="宋体" w:hAnsi="宋体" w:eastAsia="宋体" w:cs="宋体"/>
                <w:bCs/>
                <w:sz w:val="24"/>
                <w:szCs w:val="24"/>
              </w:rPr>
              <w:t>0</w:t>
            </w:r>
          </w:p>
        </w:tc>
        <w:tc>
          <w:tcPr>
            <w:tcW w:w="685" w:type="dxa"/>
          </w:tcPr>
          <w:p>
            <w:pPr>
              <w:rPr>
                <w:rFonts w:ascii="宋体" w:hAnsi="宋体" w:eastAsia="宋体" w:cs="宋体"/>
                <w:bCs/>
                <w:sz w:val="24"/>
                <w:szCs w:val="24"/>
              </w:rPr>
            </w:pPr>
            <w:r>
              <w:rPr>
                <w:rFonts w:hint="eastAsia" w:ascii="宋体" w:hAnsi="宋体" w:eastAsia="宋体" w:cs="宋体"/>
                <w:bCs/>
                <w:sz w:val="24"/>
                <w:szCs w:val="24"/>
              </w:rPr>
              <w:t>0</w:t>
            </w:r>
          </w:p>
        </w:tc>
        <w:tc>
          <w:tcPr>
            <w:tcW w:w="631" w:type="dxa"/>
          </w:tcPr>
          <w:p>
            <w:pPr>
              <w:rPr>
                <w:rFonts w:ascii="宋体" w:hAnsi="宋体" w:eastAsia="宋体" w:cs="宋体"/>
                <w:bCs/>
                <w:sz w:val="24"/>
                <w:szCs w:val="24"/>
              </w:rPr>
            </w:pPr>
            <w:r>
              <w:rPr>
                <w:rFonts w:hint="eastAsia" w:ascii="宋体" w:hAnsi="宋体" w:eastAsia="宋体" w:cs="宋体"/>
                <w:bCs/>
                <w:sz w:val="24"/>
                <w:szCs w:val="24"/>
              </w:rPr>
              <w:t>0</w:t>
            </w:r>
          </w:p>
        </w:tc>
      </w:tr>
    </w:tbl>
    <w:p>
      <w:pPr>
        <w:numPr>
          <w:ilvl w:val="0"/>
          <w:numId w:val="2"/>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5"/>
        <w:tblW w:w="9071" w:type="dxa"/>
        <w:jc w:val="center"/>
        <w:tblLayout w:type="fixed"/>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blPrEx>
          <w:tblCellMar>
            <w:top w:w="0" w:type="dxa"/>
            <w:left w:w="0" w:type="dxa"/>
            <w:bottom w:w="0" w:type="dxa"/>
            <w:right w:w="0" w:type="dxa"/>
          </w:tblCellMar>
        </w:tblPrEx>
        <w:trPr>
          <w:jc w:val="center"/>
        </w:trPr>
        <w:tc>
          <w:tcPr>
            <w:tcW w:w="300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68"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59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0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21"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59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9"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9"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6"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0"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5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r>
    </w:tbl>
    <w:p>
      <w:pPr>
        <w:ind w:firstLine="480" w:firstLineChars="200"/>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b/>
          <w:bCs/>
          <w:sz w:val="24"/>
          <w:szCs w:val="24"/>
        </w:rPr>
        <w:t>存在的主要问题及改进情况</w:t>
      </w:r>
    </w:p>
    <w:p>
      <w:pPr>
        <w:numPr>
          <w:ilvl w:val="0"/>
          <w:numId w:val="0"/>
        </w:numPr>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示范区社会治安综合治理委员会办公室</w:t>
      </w:r>
      <w:r>
        <w:rPr>
          <w:rFonts w:hint="eastAsia" w:ascii="Times New Roman" w:hAnsi="Times New Roman" w:eastAsia="宋体" w:cs="Times New Roman"/>
          <w:sz w:val="24"/>
          <w:szCs w:val="24"/>
          <w:lang w:eastAsia="zh-CN"/>
        </w:rPr>
        <w:t>工作人员</w:t>
      </w:r>
      <w:r>
        <w:rPr>
          <w:rFonts w:hint="default" w:ascii="Times New Roman" w:hAnsi="Times New Roman" w:eastAsia="宋体" w:cs="Times New Roman"/>
          <w:sz w:val="24"/>
          <w:szCs w:val="24"/>
          <w:lang w:eastAsia="zh-CN"/>
        </w:rPr>
        <w:t>对政府信息依申请公开工作的认识还有待提高，对相关的政策规定和要求还不够熟悉。</w:t>
      </w:r>
      <w:r>
        <w:rPr>
          <w:rFonts w:hint="eastAsia" w:ascii="Times New Roman" w:hAnsi="Times New Roman" w:eastAsia="宋体" w:cs="Times New Roman"/>
          <w:sz w:val="24"/>
          <w:szCs w:val="24"/>
          <w:lang w:eastAsia="zh-CN"/>
        </w:rPr>
        <w:t>接下来，我部门将进一步</w:t>
      </w:r>
      <w:r>
        <w:rPr>
          <w:rFonts w:ascii="宋体" w:hAnsi="宋体" w:eastAsia="宋体" w:cs="宋体"/>
          <w:i w:val="0"/>
          <w:iCs w:val="0"/>
          <w:caps w:val="0"/>
          <w:color w:val="000000"/>
          <w:spacing w:val="0"/>
          <w:sz w:val="24"/>
          <w:szCs w:val="24"/>
          <w:shd w:val="clear" w:fill="FFFFFF"/>
        </w:rPr>
        <w:t>强化责任意识，狠抓工作落实</w:t>
      </w:r>
      <w:r>
        <w:rPr>
          <w:rFonts w:hint="eastAsia" w:ascii="宋体" w:hAnsi="宋体" w:eastAsia="宋体" w:cs="宋体"/>
          <w:i w:val="0"/>
          <w:iCs w:val="0"/>
          <w:caps w:val="0"/>
          <w:color w:val="000000"/>
          <w:spacing w:val="0"/>
          <w:sz w:val="24"/>
          <w:szCs w:val="24"/>
          <w:shd w:val="clear" w:fill="FFFFFF"/>
          <w:lang w:eastAsia="zh-CN"/>
        </w:rPr>
        <w:t>，</w:t>
      </w:r>
      <w:r>
        <w:rPr>
          <w:rFonts w:ascii="宋体" w:hAnsi="宋体" w:eastAsia="宋体" w:cs="宋体"/>
          <w:i w:val="0"/>
          <w:iCs w:val="0"/>
          <w:caps w:val="0"/>
          <w:color w:val="000000"/>
          <w:spacing w:val="0"/>
          <w:sz w:val="24"/>
          <w:szCs w:val="24"/>
          <w:shd w:val="clear" w:fill="FFFFFF"/>
        </w:rPr>
        <w:t>进一步提升信息公开工作质量</w:t>
      </w:r>
      <w:r>
        <w:rPr>
          <w:rFonts w:hint="eastAsia" w:ascii="宋体" w:hAnsi="宋体" w:eastAsia="宋体" w:cs="宋体"/>
          <w:i w:val="0"/>
          <w:iCs w:val="0"/>
          <w:caps w:val="0"/>
          <w:color w:val="000000"/>
          <w:spacing w:val="0"/>
          <w:sz w:val="24"/>
          <w:szCs w:val="24"/>
          <w:shd w:val="clear" w:fill="FFFFFF"/>
          <w:lang w:eastAsia="zh-CN"/>
        </w:rPr>
        <w:t>。</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示范区社会治安综合治理委员会办公室</w:t>
      </w:r>
      <w:r>
        <w:rPr>
          <w:rFonts w:hint="eastAsia" w:ascii="宋体" w:hAnsi="宋体" w:eastAsia="宋体" w:cs="宋体"/>
          <w:sz w:val="24"/>
          <w:szCs w:val="24"/>
        </w:rPr>
        <w:t>无其他需要报告的事项。</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3435F"/>
    <w:multiLevelType w:val="singleLevel"/>
    <w:tmpl w:val="1FC3435F"/>
    <w:lvl w:ilvl="0" w:tentative="0">
      <w:start w:val="1"/>
      <w:numFmt w:val="chineseCounting"/>
      <w:suff w:val="nothing"/>
      <w:lvlText w:val="%1、"/>
      <w:lvlJc w:val="left"/>
      <w:rPr>
        <w:rFonts w:hint="eastAsia"/>
      </w:rPr>
    </w:lvl>
  </w:abstractNum>
  <w:abstractNum w:abstractNumId="1">
    <w:nsid w:val="704075A3"/>
    <w:multiLevelType w:val="singleLevel"/>
    <w:tmpl w:val="704075A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5MDZkZTlmY2FhMDc1MDQyNDcwMWQyMjU5Nzg3MjgifQ=="/>
  </w:docVars>
  <w:rsids>
    <w:rsidRoot w:val="00000000"/>
    <w:rsid w:val="0ABD2F89"/>
    <w:rsid w:val="0D127CE1"/>
    <w:rsid w:val="0E8F6EBD"/>
    <w:rsid w:val="0F892D81"/>
    <w:rsid w:val="139C7EE7"/>
    <w:rsid w:val="13CC7BB4"/>
    <w:rsid w:val="3172428F"/>
    <w:rsid w:val="319A044D"/>
    <w:rsid w:val="5747203B"/>
    <w:rsid w:val="58D66674"/>
    <w:rsid w:val="5BE4596F"/>
    <w:rsid w:val="64C65F21"/>
    <w:rsid w:val="72FB055A"/>
    <w:rsid w:val="75FE7CF5"/>
    <w:rsid w:val="7811029E"/>
    <w:rsid w:val="7E5735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customStyle="1" w:styleId="11">
    <w:name w:val="UserStyle_0"/>
    <w:next w:val="12"/>
    <w:qFormat/>
    <w:uiPriority w:val="0"/>
    <w:pPr>
      <w:ind w:left="200" w:leftChars="200"/>
      <w:jc w:val="both"/>
      <w:textAlignment w:val="baseline"/>
    </w:pPr>
    <w:rPr>
      <w:rFonts w:ascii="Times New Roman" w:hAnsi="Times New Roman" w:eastAsia="仿宋" w:cs="Times New Roman"/>
      <w:kern w:val="2"/>
      <w:sz w:val="32"/>
      <w:lang w:val="en-US" w:eastAsia="zh-CN" w:bidi="ar-SA"/>
    </w:rPr>
  </w:style>
  <w:style w:type="paragraph" w:customStyle="1" w:styleId="12">
    <w:name w:val="UserStyle_1"/>
    <w:qFormat/>
    <w:uiPriority w:val="0"/>
    <w:pPr>
      <w:ind w:firstLine="200" w:firstLineChars="200"/>
      <w:jc w:val="both"/>
      <w:textAlignment w:val="baseline"/>
    </w:pPr>
    <w:rPr>
      <w:rFonts w:ascii="Times New Roman" w:hAnsi="Times New Roman" w:eastAsia="仿宋"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1989</Words>
  <Characters>2048</Characters>
  <Lines>13</Lines>
  <Paragraphs>3</Paragraphs>
  <TotalTime>13</TotalTime>
  <ScaleCrop>false</ScaleCrop>
  <LinksUpToDate>false</LinksUpToDate>
  <CharactersWithSpaces>2053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2021-01-09T14:07:00Z</dcterms:created>
  <dc:creator>lenovo</dc:creator>
  <cp:lastModifiedBy>唐旭。</cp:lastModifiedBy>
  <cp:lastPrinted>2021-12-31T10:07:00Z</cp:lastPrinted>
  <dcterms:modified xsi:type="dcterms:W3CDTF">2022-10-20T09:04:39Z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E7A5E3CD118D47418ADEB801967CFD10</vt:lpwstr>
  </property>
</Properties>
</file>